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5D5" w:rsidRPr="00DE4A3D" w:rsidRDefault="00FE65D5" w:rsidP="00FE65D5">
      <w:pPr>
        <w:jc w:val="center"/>
        <w:rPr>
          <w:rFonts w:ascii="Cambria" w:hAnsi="Cambria"/>
          <w14:ligatures w14:val="standardContextual"/>
          <w14:numForm w14:val="oldStyle"/>
        </w:rPr>
      </w:pPr>
    </w:p>
    <w:tbl>
      <w:tblPr>
        <w:tblW w:w="0" w:type="auto"/>
        <w:jc w:val="center"/>
        <w:tblBorders>
          <w:top w:val="single" w:sz="6" w:space="0" w:color="C0C0C0"/>
          <w:bottom w:val="single" w:sz="6" w:space="0" w:color="C0C0C0"/>
          <w:insideH w:val="single" w:sz="6" w:space="0" w:color="C0C0C0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88"/>
        <w:gridCol w:w="2070"/>
      </w:tblGrid>
      <w:tr w:rsidR="00FE65D5" w:rsidRPr="00DE4A3D" w:rsidTr="005F1FD4">
        <w:tblPrEx>
          <w:tblCellMar>
            <w:top w:w="0" w:type="dxa"/>
            <w:bottom w:w="0" w:type="dxa"/>
          </w:tblCellMar>
        </w:tblPrEx>
        <w:trPr>
          <w:gridAfter w:val="1"/>
          <w:wAfter w:w="2070" w:type="dxa"/>
          <w:jc w:val="center"/>
        </w:trPr>
        <w:tc>
          <w:tcPr>
            <w:tcW w:w="6588" w:type="dxa"/>
          </w:tcPr>
          <w:p w:rsidR="00FE65D5" w:rsidRPr="00DE4A3D" w:rsidRDefault="00FE65D5" w:rsidP="005F1FD4">
            <w:pPr>
              <w:jc w:val="center"/>
              <w:rPr>
                <w:rFonts w:ascii="Cambria" w:hAnsi="Cambria"/>
                <w:sz w:val="36"/>
                <w14:ligatures w14:val="standardContextual"/>
                <w14:numForm w14:val="oldStyle"/>
              </w:rPr>
            </w:pPr>
            <w:r w:rsidRPr="00DE4A3D">
              <w:rPr>
                <w:rFonts w:ascii="Cambria" w:hAnsi="Cambria"/>
                <w:sz w:val="36"/>
                <w14:ligatures w14:val="standardContextual"/>
                <w14:numForm w14:val="oldStyle"/>
              </w:rPr>
              <w:t>Brave New World</w:t>
            </w:r>
          </w:p>
        </w:tc>
      </w:tr>
      <w:tr w:rsidR="00FE65D5" w:rsidRPr="00DE4A3D" w:rsidTr="005F1FD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658" w:type="dxa"/>
            <w:gridSpan w:val="2"/>
          </w:tcPr>
          <w:p w:rsidR="00FE65D5" w:rsidRPr="00DE4A3D" w:rsidRDefault="00FE65D5" w:rsidP="005F1FD4">
            <w:pPr>
              <w:jc w:val="center"/>
              <w:rPr>
                <w:rFonts w:ascii="Cambria" w:hAnsi="Cambria"/>
                <w:color w:val="C00000"/>
                <w:sz w:val="48"/>
                <w14:ligatures w14:val="standardContextual"/>
                <w14:numForm w14:val="oldStyle"/>
              </w:rPr>
            </w:pPr>
            <w:proofErr w:type="spellStart"/>
            <w:r w:rsidRPr="00DE4A3D">
              <w:rPr>
                <w:rFonts w:ascii="Cambria" w:hAnsi="Cambria"/>
                <w:color w:val="C00000"/>
                <w:sz w:val="48"/>
                <w14:ligatures w14:val="standardContextual"/>
                <w14:numForm w14:val="oldStyle"/>
              </w:rPr>
              <w:t>Hypnopædic</w:t>
            </w:r>
            <w:proofErr w:type="spellEnd"/>
            <w:r w:rsidRPr="00DE4A3D">
              <w:rPr>
                <w:rFonts w:ascii="Cambria" w:hAnsi="Cambria"/>
                <w:color w:val="C00000"/>
                <w:sz w:val="48"/>
                <w14:ligatures w14:val="standardContextual"/>
                <w14:numForm w14:val="oldStyle"/>
              </w:rPr>
              <w:t xml:space="preserve"> Slogans</w:t>
            </w:r>
          </w:p>
        </w:tc>
      </w:tr>
      <w:tr w:rsidR="00FE65D5" w:rsidRPr="00DE4A3D" w:rsidTr="005F1FD4">
        <w:tblPrEx>
          <w:tblCellMar>
            <w:top w:w="0" w:type="dxa"/>
            <w:bottom w:w="0" w:type="dxa"/>
          </w:tblCellMar>
        </w:tblPrEx>
        <w:trPr>
          <w:gridAfter w:val="1"/>
          <w:wAfter w:w="2070" w:type="dxa"/>
          <w:jc w:val="center"/>
        </w:trPr>
        <w:tc>
          <w:tcPr>
            <w:tcW w:w="6588" w:type="dxa"/>
          </w:tcPr>
          <w:p w:rsidR="00FE65D5" w:rsidRPr="00DE4A3D" w:rsidRDefault="00FE65D5" w:rsidP="005F1FD4">
            <w:pPr>
              <w:jc w:val="center"/>
              <w:rPr>
                <w:rFonts w:ascii="Cambria" w:hAnsi="Cambria"/>
                <w:sz w:val="28"/>
                <w14:ligatures w14:val="standardContextual"/>
                <w14:numForm w14:val="oldStyle"/>
              </w:rPr>
            </w:pPr>
          </w:p>
        </w:tc>
      </w:tr>
    </w:tbl>
    <w:p w:rsidR="00FE65D5" w:rsidRPr="00DE4A3D" w:rsidRDefault="00FE65D5" w:rsidP="00FE65D5">
      <w:pPr>
        <w:rPr>
          <w:rFonts w:ascii="Cambria" w:hAnsi="Cambria"/>
          <w14:ligatures w14:val="standardContextual"/>
          <w14:numForm w14:val="oldStyle"/>
        </w:rPr>
      </w:pPr>
    </w:p>
    <w:p w:rsidR="00FE65D5" w:rsidRPr="00DE4A3D" w:rsidRDefault="00FE65D5" w:rsidP="00FE65D5">
      <w:pPr>
        <w:rPr>
          <w:rFonts w:ascii="Cambria" w:hAnsi="Cambria"/>
          <w14:ligatures w14:val="standardContextual"/>
          <w14:numForm w14:val="oldStyle"/>
        </w:rPr>
      </w:pPr>
      <w:r w:rsidRPr="00DE4A3D">
        <w:rPr>
          <w:rFonts w:ascii="Cambria" w:hAnsi="Cambria"/>
          <w:b/>
          <w:i/>
          <w14:ligatures w14:val="standardContextual"/>
          <w14:numForm w14:val="oldStyle"/>
        </w:rPr>
        <w:t>Directions</w:t>
      </w:r>
      <w:r w:rsidRPr="00DE4A3D">
        <w:rPr>
          <w:rFonts w:ascii="Cambria" w:hAnsi="Cambria"/>
          <w14:ligatures w14:val="standardContextual"/>
          <w14:numForm w14:val="oldStyle"/>
        </w:rPr>
        <w:t>—Interpret and apply the following slogans. (Page numbers are from the 1969</w:t>
      </w:r>
      <w:proofErr w:type="gramStart"/>
      <w:r w:rsidRPr="00DE4A3D">
        <w:rPr>
          <w:rFonts w:ascii="Cambria" w:hAnsi="Cambria"/>
          <w14:ligatures w14:val="standardContextual"/>
          <w14:numForm w14:val="oldStyle"/>
        </w:rPr>
        <w:t>,t</w:t>
      </w:r>
      <w:proofErr w:type="gramEnd"/>
      <w:r w:rsidRPr="00DE4A3D">
        <w:rPr>
          <w:rFonts w:ascii="Cambria" w:hAnsi="Cambria"/>
          <w14:ligatures w14:val="standardContextual"/>
          <w14:numForm w14:val="oldStyle"/>
        </w:rPr>
        <w:t xml:space="preserve"> hen the 1989 setting of the Harper edition.)</w:t>
      </w:r>
    </w:p>
    <w:p w:rsidR="00FE65D5" w:rsidRPr="00DE4A3D" w:rsidRDefault="00FE65D5" w:rsidP="00FE65D5">
      <w:pPr>
        <w:jc w:val="center"/>
        <w:rPr>
          <w:rFonts w:ascii="Cambria" w:hAnsi="Cambria"/>
          <w:b/>
          <w:i/>
          <w:sz w:val="22"/>
          <w14:ligatures w14:val="standardContextual"/>
          <w14:numForm w14:val="oldStyle"/>
        </w:rPr>
      </w:pPr>
    </w:p>
    <w:tbl>
      <w:tblPr>
        <w:tblW w:w="0" w:type="auto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  <w:insideH w:val="single" w:sz="6" w:space="0" w:color="C0C0C0"/>
          <w:insideV w:val="single" w:sz="6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3528"/>
        <w:gridCol w:w="3528"/>
        <w:gridCol w:w="3528"/>
      </w:tblGrid>
      <w:tr w:rsidR="00FE65D5" w:rsidRPr="00DE4A3D" w:rsidTr="005F1FD4">
        <w:tblPrEx>
          <w:tblCellMar>
            <w:top w:w="0" w:type="dxa"/>
            <w:bottom w:w="0" w:type="dxa"/>
          </w:tblCellMar>
        </w:tblPrEx>
        <w:trPr>
          <w:cantSplit/>
          <w:trHeight w:val="660"/>
        </w:trPr>
        <w:tc>
          <w:tcPr>
            <w:tcW w:w="3528" w:type="dxa"/>
          </w:tcPr>
          <w:p w:rsidR="00FE65D5" w:rsidRPr="00DE4A3D" w:rsidRDefault="00FE65D5" w:rsidP="005F1FD4">
            <w:pPr>
              <w:jc w:val="center"/>
              <w:rPr>
                <w:rFonts w:ascii="Cambria" w:hAnsi="Cambria"/>
                <w:b/>
                <w:i/>
                <w:sz w:val="22"/>
                <w14:ligatures w14:val="standardContextual"/>
                <w14:numForm w14:val="oldStyle"/>
              </w:rPr>
            </w:pPr>
            <w:r w:rsidRPr="00DE4A3D">
              <w:rPr>
                <w:rFonts w:ascii="Cambria" w:hAnsi="Cambria"/>
                <w:b/>
                <w:i/>
                <w:sz w:val="22"/>
                <w14:ligatures w14:val="standardContextual"/>
                <w14:numForm w14:val="oldStyle"/>
              </w:rPr>
              <w:t>Slogan</w:t>
            </w:r>
          </w:p>
        </w:tc>
        <w:tc>
          <w:tcPr>
            <w:tcW w:w="3528" w:type="dxa"/>
          </w:tcPr>
          <w:p w:rsidR="00FE65D5" w:rsidRPr="00DE4A3D" w:rsidRDefault="00FE65D5" w:rsidP="005F1FD4">
            <w:pPr>
              <w:jc w:val="center"/>
              <w:rPr>
                <w:rFonts w:ascii="Cambria" w:hAnsi="Cambria"/>
                <w:b/>
                <w:i/>
                <w:sz w:val="22"/>
                <w14:ligatures w14:val="standardContextual"/>
                <w14:numForm w14:val="oldStyle"/>
              </w:rPr>
            </w:pPr>
            <w:r w:rsidRPr="00DE4A3D">
              <w:rPr>
                <w:rFonts w:ascii="Cambria" w:hAnsi="Cambria"/>
                <w:b/>
                <w:i/>
                <w:sz w:val="22"/>
                <w14:ligatures w14:val="standardContextual"/>
                <w14:numForm w14:val="oldStyle"/>
              </w:rPr>
              <w:t>What it means</w:t>
            </w:r>
          </w:p>
        </w:tc>
        <w:tc>
          <w:tcPr>
            <w:tcW w:w="3528" w:type="dxa"/>
          </w:tcPr>
          <w:p w:rsidR="00FE65D5" w:rsidRPr="00DE4A3D" w:rsidRDefault="00FE65D5" w:rsidP="005F1FD4">
            <w:pPr>
              <w:jc w:val="center"/>
              <w:rPr>
                <w:rFonts w:ascii="Cambria" w:hAnsi="Cambria"/>
                <w:b/>
                <w:i/>
                <w:sz w:val="22"/>
                <w14:ligatures w14:val="standardContextual"/>
                <w14:numForm w14:val="oldStyle"/>
              </w:rPr>
            </w:pPr>
            <w:r w:rsidRPr="00DE4A3D">
              <w:rPr>
                <w:rFonts w:ascii="Cambria" w:hAnsi="Cambria"/>
                <w:b/>
                <w:i/>
                <w:sz w:val="22"/>
                <w14:ligatures w14:val="standardContextual"/>
                <w14:numForm w14:val="oldStyle"/>
              </w:rPr>
              <w:t>What it reveals about the World State</w:t>
            </w:r>
          </w:p>
        </w:tc>
      </w:tr>
      <w:tr w:rsidR="00FE65D5" w:rsidRPr="00DE4A3D" w:rsidTr="005F1FD4">
        <w:tblPrEx>
          <w:tblCellMar>
            <w:top w:w="0" w:type="dxa"/>
            <w:bottom w:w="0" w:type="dxa"/>
          </w:tblCellMar>
        </w:tblPrEx>
        <w:trPr>
          <w:cantSplit/>
          <w:trHeight w:val="960"/>
        </w:trPr>
        <w:tc>
          <w:tcPr>
            <w:tcW w:w="3528" w:type="dxa"/>
          </w:tcPr>
          <w:p w:rsidR="00FE65D5" w:rsidRPr="00DE4A3D" w:rsidRDefault="00FE65D5" w:rsidP="005F1FD4">
            <w:pPr>
              <w:numPr>
                <w:ilvl w:val="0"/>
                <w:numId w:val="1"/>
              </w:numPr>
              <w:rPr>
                <w:rFonts w:ascii="Cambria" w:hAnsi="Cambria"/>
                <w14:ligatures w14:val="standardContextual"/>
                <w14:numForm w14:val="oldStyle"/>
              </w:rPr>
            </w:pPr>
            <w:r w:rsidRPr="00DE4A3D">
              <w:rPr>
                <w:rFonts w:ascii="Cambria" w:hAnsi="Cambria"/>
                <w14:ligatures w14:val="standardContextual"/>
                <w14:numForm w14:val="oldStyle"/>
              </w:rPr>
              <w:t>“When the Individual feels, the community reels.” (62 / 94)</w:t>
            </w:r>
          </w:p>
        </w:tc>
        <w:tc>
          <w:tcPr>
            <w:tcW w:w="3528" w:type="dxa"/>
          </w:tcPr>
          <w:p w:rsidR="00FE65D5" w:rsidRPr="00DE4A3D" w:rsidRDefault="00FE65D5" w:rsidP="005F1FD4">
            <w:pPr>
              <w:rPr>
                <w:rFonts w:ascii="Cambria" w:hAnsi="Cambria"/>
                <w14:ligatures w14:val="standardContextual"/>
                <w14:numForm w14:val="oldStyle"/>
              </w:rPr>
            </w:pPr>
          </w:p>
        </w:tc>
        <w:tc>
          <w:tcPr>
            <w:tcW w:w="3528" w:type="dxa"/>
          </w:tcPr>
          <w:p w:rsidR="00FE65D5" w:rsidRPr="00DE4A3D" w:rsidRDefault="00FE65D5" w:rsidP="005F1FD4">
            <w:pPr>
              <w:rPr>
                <w:rFonts w:ascii="Cambria" w:hAnsi="Cambria"/>
                <w14:ligatures w14:val="standardContextual"/>
                <w14:numForm w14:val="oldStyle"/>
              </w:rPr>
            </w:pPr>
          </w:p>
        </w:tc>
      </w:tr>
      <w:tr w:rsidR="00FE65D5" w:rsidRPr="00DE4A3D" w:rsidTr="005F1FD4">
        <w:tblPrEx>
          <w:tblCellMar>
            <w:top w:w="0" w:type="dxa"/>
            <w:bottom w:w="0" w:type="dxa"/>
          </w:tblCellMar>
        </w:tblPrEx>
        <w:trPr>
          <w:cantSplit/>
          <w:trHeight w:val="960"/>
        </w:trPr>
        <w:tc>
          <w:tcPr>
            <w:tcW w:w="3528" w:type="dxa"/>
          </w:tcPr>
          <w:p w:rsidR="00FE65D5" w:rsidRPr="00DE4A3D" w:rsidRDefault="00FE65D5" w:rsidP="005F1FD4">
            <w:pPr>
              <w:numPr>
                <w:ilvl w:val="0"/>
                <w:numId w:val="1"/>
              </w:numPr>
              <w:rPr>
                <w:rFonts w:ascii="Cambria" w:hAnsi="Cambria"/>
                <w14:ligatures w14:val="standardContextual"/>
                <w14:numForm w14:val="oldStyle"/>
              </w:rPr>
            </w:pPr>
            <w:r w:rsidRPr="00DE4A3D">
              <w:rPr>
                <w:rFonts w:ascii="Cambria" w:hAnsi="Cambria"/>
                <w14:ligatures w14:val="standardContextual"/>
                <w14:numForm w14:val="oldStyle"/>
              </w:rPr>
              <w:t>“Ending is better than mending.” (35 / 50)</w:t>
            </w:r>
          </w:p>
        </w:tc>
        <w:tc>
          <w:tcPr>
            <w:tcW w:w="3528" w:type="dxa"/>
          </w:tcPr>
          <w:p w:rsidR="00FE65D5" w:rsidRPr="00DE4A3D" w:rsidRDefault="00FE65D5" w:rsidP="005F1FD4">
            <w:pPr>
              <w:rPr>
                <w:rFonts w:ascii="Cambria" w:hAnsi="Cambria"/>
                <w14:ligatures w14:val="standardContextual"/>
                <w14:numForm w14:val="oldStyle"/>
              </w:rPr>
            </w:pPr>
          </w:p>
        </w:tc>
        <w:tc>
          <w:tcPr>
            <w:tcW w:w="3528" w:type="dxa"/>
          </w:tcPr>
          <w:p w:rsidR="00FE65D5" w:rsidRPr="00DE4A3D" w:rsidRDefault="00FE65D5" w:rsidP="005F1FD4">
            <w:pPr>
              <w:rPr>
                <w:rFonts w:ascii="Cambria" w:hAnsi="Cambria"/>
                <w14:ligatures w14:val="standardContextual"/>
                <w14:numForm w14:val="oldStyle"/>
              </w:rPr>
            </w:pPr>
          </w:p>
        </w:tc>
      </w:tr>
      <w:tr w:rsidR="00FE65D5" w:rsidRPr="00DE4A3D" w:rsidTr="005F1FD4">
        <w:tblPrEx>
          <w:tblCellMar>
            <w:top w:w="0" w:type="dxa"/>
            <w:bottom w:w="0" w:type="dxa"/>
          </w:tblCellMar>
        </w:tblPrEx>
        <w:trPr>
          <w:cantSplit/>
          <w:trHeight w:val="960"/>
        </w:trPr>
        <w:tc>
          <w:tcPr>
            <w:tcW w:w="3528" w:type="dxa"/>
          </w:tcPr>
          <w:p w:rsidR="00FE65D5" w:rsidRPr="00DE4A3D" w:rsidRDefault="00FE65D5" w:rsidP="005F1FD4">
            <w:pPr>
              <w:numPr>
                <w:ilvl w:val="0"/>
                <w:numId w:val="1"/>
              </w:numPr>
              <w:rPr>
                <w:rFonts w:ascii="Cambria" w:hAnsi="Cambria"/>
                <w14:ligatures w14:val="standardContextual"/>
                <w14:numForm w14:val="oldStyle"/>
              </w:rPr>
            </w:pPr>
            <w:r w:rsidRPr="00DE4A3D">
              <w:rPr>
                <w:rFonts w:ascii="Cambria" w:hAnsi="Cambria"/>
                <w14:ligatures w14:val="standardContextual"/>
                <w14:numForm w14:val="oldStyle"/>
              </w:rPr>
              <w:t xml:space="preserve">“A </w:t>
            </w:r>
            <w:proofErr w:type="spellStart"/>
            <w:r w:rsidRPr="00DE4A3D">
              <w:rPr>
                <w:rFonts w:ascii="Cambria" w:hAnsi="Cambria"/>
                <w14:ligatures w14:val="standardContextual"/>
                <w14:numForm w14:val="oldStyle"/>
              </w:rPr>
              <w:t>gramme</w:t>
            </w:r>
            <w:proofErr w:type="spellEnd"/>
            <w:r w:rsidRPr="00DE4A3D">
              <w:rPr>
                <w:rFonts w:ascii="Cambria" w:hAnsi="Cambria"/>
                <w14:ligatures w14:val="standardContextual"/>
                <w14:numForm w14:val="oldStyle"/>
              </w:rPr>
              <w:t xml:space="preserve"> is better than a damn.” (37 / 54)</w:t>
            </w:r>
          </w:p>
        </w:tc>
        <w:tc>
          <w:tcPr>
            <w:tcW w:w="3528" w:type="dxa"/>
          </w:tcPr>
          <w:p w:rsidR="00FE65D5" w:rsidRPr="00DE4A3D" w:rsidRDefault="00FE65D5" w:rsidP="005F1FD4">
            <w:pPr>
              <w:rPr>
                <w:rFonts w:ascii="Cambria" w:hAnsi="Cambria"/>
                <w14:ligatures w14:val="standardContextual"/>
                <w14:numForm w14:val="oldStyle"/>
              </w:rPr>
            </w:pPr>
          </w:p>
        </w:tc>
        <w:tc>
          <w:tcPr>
            <w:tcW w:w="3528" w:type="dxa"/>
          </w:tcPr>
          <w:p w:rsidR="00FE65D5" w:rsidRPr="00DE4A3D" w:rsidRDefault="00FE65D5" w:rsidP="005F1FD4">
            <w:pPr>
              <w:rPr>
                <w:rFonts w:ascii="Cambria" w:hAnsi="Cambria"/>
                <w14:ligatures w14:val="standardContextual"/>
                <w14:numForm w14:val="oldStyle"/>
              </w:rPr>
            </w:pPr>
          </w:p>
        </w:tc>
      </w:tr>
      <w:tr w:rsidR="00FE65D5" w:rsidRPr="00DE4A3D" w:rsidTr="005F1FD4">
        <w:tblPrEx>
          <w:tblCellMar>
            <w:top w:w="0" w:type="dxa"/>
            <w:bottom w:w="0" w:type="dxa"/>
          </w:tblCellMar>
        </w:tblPrEx>
        <w:trPr>
          <w:cantSplit/>
          <w:trHeight w:val="960"/>
        </w:trPr>
        <w:tc>
          <w:tcPr>
            <w:tcW w:w="3528" w:type="dxa"/>
          </w:tcPr>
          <w:p w:rsidR="00FE65D5" w:rsidRPr="00DE4A3D" w:rsidRDefault="00FE65D5" w:rsidP="005F1FD4">
            <w:pPr>
              <w:numPr>
                <w:ilvl w:val="0"/>
                <w:numId w:val="1"/>
              </w:numPr>
              <w:rPr>
                <w:rFonts w:ascii="Cambria" w:hAnsi="Cambria"/>
                <w14:ligatures w14:val="standardContextual"/>
                <w14:numForm w14:val="oldStyle"/>
              </w:rPr>
            </w:pPr>
            <w:r w:rsidRPr="00DE4A3D">
              <w:rPr>
                <w:rFonts w:ascii="Cambria" w:hAnsi="Cambria"/>
                <w14:ligatures w14:val="standardContextual"/>
                <w14:numForm w14:val="oldStyle"/>
              </w:rPr>
              <w:t>“The more stitches, the less riches.”  (33 / 49)</w:t>
            </w:r>
          </w:p>
        </w:tc>
        <w:tc>
          <w:tcPr>
            <w:tcW w:w="3528" w:type="dxa"/>
          </w:tcPr>
          <w:p w:rsidR="00FE65D5" w:rsidRPr="00DE4A3D" w:rsidRDefault="00FE65D5" w:rsidP="005F1FD4">
            <w:pPr>
              <w:rPr>
                <w:rFonts w:ascii="Cambria" w:hAnsi="Cambria"/>
                <w14:ligatures w14:val="standardContextual"/>
                <w14:numForm w14:val="oldStyle"/>
              </w:rPr>
            </w:pPr>
          </w:p>
        </w:tc>
        <w:tc>
          <w:tcPr>
            <w:tcW w:w="3528" w:type="dxa"/>
          </w:tcPr>
          <w:p w:rsidR="00FE65D5" w:rsidRPr="00DE4A3D" w:rsidRDefault="00FE65D5" w:rsidP="005F1FD4">
            <w:pPr>
              <w:rPr>
                <w:rFonts w:ascii="Cambria" w:hAnsi="Cambria"/>
                <w14:ligatures w14:val="standardContextual"/>
                <w14:numForm w14:val="oldStyle"/>
              </w:rPr>
            </w:pPr>
          </w:p>
        </w:tc>
      </w:tr>
      <w:tr w:rsidR="00FE65D5" w:rsidRPr="00DE4A3D" w:rsidTr="005F1FD4">
        <w:tblPrEx>
          <w:tblCellMar>
            <w:top w:w="0" w:type="dxa"/>
            <w:bottom w:w="0" w:type="dxa"/>
          </w:tblCellMar>
        </w:tblPrEx>
        <w:trPr>
          <w:cantSplit/>
          <w:trHeight w:val="960"/>
        </w:trPr>
        <w:tc>
          <w:tcPr>
            <w:tcW w:w="3528" w:type="dxa"/>
          </w:tcPr>
          <w:p w:rsidR="00FE65D5" w:rsidRPr="00DE4A3D" w:rsidRDefault="00FE65D5" w:rsidP="005F1FD4">
            <w:pPr>
              <w:numPr>
                <w:ilvl w:val="0"/>
                <w:numId w:val="1"/>
              </w:numPr>
              <w:rPr>
                <w:rFonts w:ascii="Cambria" w:hAnsi="Cambria"/>
                <w14:ligatures w14:val="standardContextual"/>
                <w14:numForm w14:val="oldStyle"/>
              </w:rPr>
            </w:pPr>
            <w:r w:rsidRPr="00DE4A3D">
              <w:rPr>
                <w:rFonts w:ascii="Cambria" w:hAnsi="Cambria"/>
                <w14:ligatures w14:val="standardContextual"/>
                <w14:numForm w14:val="oldStyle"/>
              </w:rPr>
              <w:t>“I do love flying. I do love flying.” (33 / 49)</w:t>
            </w:r>
          </w:p>
        </w:tc>
        <w:tc>
          <w:tcPr>
            <w:tcW w:w="3528" w:type="dxa"/>
          </w:tcPr>
          <w:p w:rsidR="00FE65D5" w:rsidRPr="00DE4A3D" w:rsidRDefault="00FE65D5" w:rsidP="005F1FD4">
            <w:pPr>
              <w:rPr>
                <w:rFonts w:ascii="Cambria" w:hAnsi="Cambria"/>
                <w14:ligatures w14:val="standardContextual"/>
                <w14:numForm w14:val="oldStyle"/>
              </w:rPr>
            </w:pPr>
          </w:p>
        </w:tc>
        <w:tc>
          <w:tcPr>
            <w:tcW w:w="3528" w:type="dxa"/>
          </w:tcPr>
          <w:p w:rsidR="00FE65D5" w:rsidRPr="00DE4A3D" w:rsidRDefault="00FE65D5" w:rsidP="005F1FD4">
            <w:pPr>
              <w:rPr>
                <w:rFonts w:ascii="Cambria" w:hAnsi="Cambria"/>
                <w14:ligatures w14:val="standardContextual"/>
                <w14:numForm w14:val="oldStyle"/>
              </w:rPr>
            </w:pPr>
          </w:p>
        </w:tc>
      </w:tr>
      <w:tr w:rsidR="00FE65D5" w:rsidRPr="00DE4A3D" w:rsidTr="005F1FD4">
        <w:tblPrEx>
          <w:tblCellMar>
            <w:top w:w="0" w:type="dxa"/>
            <w:bottom w:w="0" w:type="dxa"/>
          </w:tblCellMar>
        </w:tblPrEx>
        <w:trPr>
          <w:cantSplit/>
          <w:trHeight w:val="960"/>
        </w:trPr>
        <w:tc>
          <w:tcPr>
            <w:tcW w:w="3528" w:type="dxa"/>
          </w:tcPr>
          <w:p w:rsidR="00FE65D5" w:rsidRPr="00DE4A3D" w:rsidRDefault="00FE65D5" w:rsidP="005F1FD4">
            <w:pPr>
              <w:numPr>
                <w:ilvl w:val="0"/>
                <w:numId w:val="1"/>
              </w:numPr>
              <w:rPr>
                <w:rFonts w:ascii="Cambria" w:hAnsi="Cambria"/>
                <w14:ligatures w14:val="standardContextual"/>
                <w14:numForm w14:val="oldStyle"/>
              </w:rPr>
            </w:pPr>
            <w:r w:rsidRPr="00DE4A3D">
              <w:rPr>
                <w:rFonts w:ascii="Cambria" w:hAnsi="Cambria"/>
                <w14:ligatures w14:val="standardContextual"/>
                <w14:numForm w14:val="oldStyle"/>
              </w:rPr>
              <w:t xml:space="preserve">One cubic </w:t>
            </w:r>
            <w:proofErr w:type="spellStart"/>
            <w:r w:rsidRPr="00DE4A3D">
              <w:rPr>
                <w:rFonts w:ascii="Cambria" w:hAnsi="Cambria"/>
                <w14:ligatures w14:val="standardContextual"/>
                <w14:numForm w14:val="oldStyle"/>
              </w:rPr>
              <w:t>centimetre</w:t>
            </w:r>
            <w:proofErr w:type="spellEnd"/>
            <w:r w:rsidRPr="00DE4A3D">
              <w:rPr>
                <w:rFonts w:ascii="Cambria" w:hAnsi="Cambria"/>
                <w14:ligatures w14:val="standardContextual"/>
                <w14:numForm w14:val="oldStyle"/>
              </w:rPr>
              <w:t xml:space="preserve"> cures ten gloomy sentiments.” (60 / 90)</w:t>
            </w:r>
          </w:p>
        </w:tc>
        <w:tc>
          <w:tcPr>
            <w:tcW w:w="3528" w:type="dxa"/>
          </w:tcPr>
          <w:p w:rsidR="00FE65D5" w:rsidRPr="00DE4A3D" w:rsidRDefault="00FE65D5" w:rsidP="005F1FD4">
            <w:pPr>
              <w:rPr>
                <w:rFonts w:ascii="Cambria" w:hAnsi="Cambria"/>
                <w14:ligatures w14:val="standardContextual"/>
                <w14:numForm w14:val="oldStyle"/>
              </w:rPr>
            </w:pPr>
          </w:p>
        </w:tc>
        <w:tc>
          <w:tcPr>
            <w:tcW w:w="3528" w:type="dxa"/>
          </w:tcPr>
          <w:p w:rsidR="00FE65D5" w:rsidRPr="00DE4A3D" w:rsidRDefault="00FE65D5" w:rsidP="005F1FD4">
            <w:pPr>
              <w:rPr>
                <w:rFonts w:ascii="Cambria" w:hAnsi="Cambria"/>
                <w14:ligatures w14:val="standardContextual"/>
                <w14:numForm w14:val="oldStyle"/>
              </w:rPr>
            </w:pPr>
          </w:p>
        </w:tc>
      </w:tr>
      <w:tr w:rsidR="00FE65D5" w:rsidRPr="00DE4A3D" w:rsidTr="005F1FD4">
        <w:tblPrEx>
          <w:tblCellMar>
            <w:top w:w="0" w:type="dxa"/>
            <w:bottom w:w="0" w:type="dxa"/>
          </w:tblCellMar>
        </w:tblPrEx>
        <w:trPr>
          <w:cantSplit/>
          <w:trHeight w:val="960"/>
        </w:trPr>
        <w:tc>
          <w:tcPr>
            <w:tcW w:w="3528" w:type="dxa"/>
          </w:tcPr>
          <w:p w:rsidR="00FE65D5" w:rsidRPr="00DE4A3D" w:rsidRDefault="00FE65D5" w:rsidP="005F1FD4">
            <w:pPr>
              <w:numPr>
                <w:ilvl w:val="0"/>
                <w:numId w:val="1"/>
              </w:numPr>
              <w:rPr>
                <w:rFonts w:ascii="Cambria" w:hAnsi="Cambria"/>
                <w14:ligatures w14:val="standardContextual"/>
                <w14:numForm w14:val="oldStyle"/>
              </w:rPr>
            </w:pPr>
            <w:r w:rsidRPr="00DE4A3D">
              <w:rPr>
                <w:rFonts w:ascii="Cambria" w:hAnsi="Cambria"/>
                <w14:ligatures w14:val="standardContextual"/>
                <w14:numForm w14:val="oldStyle"/>
              </w:rPr>
              <w:t xml:space="preserve">“Alpha children wear grey. They work much harder than we do, because they’re so frightfully clever. I’m really </w:t>
            </w:r>
            <w:proofErr w:type="gramStart"/>
            <w:r w:rsidRPr="00DE4A3D">
              <w:rPr>
                <w:rFonts w:ascii="Cambria" w:hAnsi="Cambria"/>
                <w14:ligatures w14:val="standardContextual"/>
                <w14:numForm w14:val="oldStyle"/>
              </w:rPr>
              <w:t>awfully</w:t>
            </w:r>
            <w:proofErr w:type="gramEnd"/>
            <w:r w:rsidRPr="00DE4A3D">
              <w:rPr>
                <w:rFonts w:ascii="Cambria" w:hAnsi="Cambria"/>
                <w14:ligatures w14:val="standardContextual"/>
                <w14:numForm w14:val="oldStyle"/>
              </w:rPr>
              <w:t xml:space="preserve"> glad I’m Beta, because I don’t work so hard. </w:t>
            </w:r>
            <w:proofErr w:type="gramStart"/>
            <w:r w:rsidRPr="00DE4A3D">
              <w:rPr>
                <w:rFonts w:ascii="Cambria" w:hAnsi="Cambria"/>
                <w14:ligatures w14:val="standardContextual"/>
                <w14:numForm w14:val="oldStyle"/>
              </w:rPr>
              <w:t>And then</w:t>
            </w:r>
            <w:proofErr w:type="gramEnd"/>
            <w:r w:rsidRPr="00DE4A3D">
              <w:rPr>
                <w:rFonts w:ascii="Cambria" w:hAnsi="Cambria"/>
                <w14:ligatures w14:val="standardContextual"/>
                <w14:numForm w14:val="oldStyle"/>
              </w:rPr>
              <w:t xml:space="preserve"> we are much better than the Gammas and Deltas. Gammas are stupid. They all wear green, and Delta children wear khaki. Oh, no. I don’t want to play with Delta children. </w:t>
            </w:r>
            <w:proofErr w:type="gramStart"/>
            <w:r w:rsidRPr="00DE4A3D">
              <w:rPr>
                <w:rFonts w:ascii="Cambria" w:hAnsi="Cambria"/>
                <w14:ligatures w14:val="standardContextual"/>
                <w14:numForm w14:val="oldStyle"/>
              </w:rPr>
              <w:t>And</w:t>
            </w:r>
            <w:proofErr w:type="gramEnd"/>
            <w:r w:rsidRPr="00DE4A3D">
              <w:rPr>
                <w:rFonts w:ascii="Cambria" w:hAnsi="Cambria"/>
                <w14:ligatures w14:val="standardContextual"/>
                <w14:numForm w14:val="oldStyle"/>
              </w:rPr>
              <w:t xml:space="preserve"> Epsilons are still worse. They’re too stupid to be able…” (18 / 27)</w:t>
            </w:r>
          </w:p>
        </w:tc>
        <w:tc>
          <w:tcPr>
            <w:tcW w:w="3528" w:type="dxa"/>
          </w:tcPr>
          <w:p w:rsidR="00FE65D5" w:rsidRPr="00DE4A3D" w:rsidRDefault="00FE65D5" w:rsidP="005F1FD4">
            <w:pPr>
              <w:rPr>
                <w:rFonts w:ascii="Cambria" w:hAnsi="Cambria"/>
                <w14:ligatures w14:val="standardContextual"/>
                <w14:numForm w14:val="oldStyle"/>
              </w:rPr>
            </w:pPr>
          </w:p>
        </w:tc>
        <w:tc>
          <w:tcPr>
            <w:tcW w:w="3528" w:type="dxa"/>
          </w:tcPr>
          <w:p w:rsidR="00FE65D5" w:rsidRPr="00DE4A3D" w:rsidRDefault="00FE65D5" w:rsidP="005F1FD4">
            <w:pPr>
              <w:rPr>
                <w:rFonts w:ascii="Cambria" w:hAnsi="Cambria"/>
                <w14:ligatures w14:val="standardContextual"/>
                <w14:numForm w14:val="oldStyle"/>
              </w:rPr>
            </w:pPr>
          </w:p>
        </w:tc>
      </w:tr>
      <w:tr w:rsidR="00FE65D5" w:rsidRPr="00DE4A3D" w:rsidTr="005F1FD4">
        <w:tblPrEx>
          <w:tblCellMar>
            <w:top w:w="0" w:type="dxa"/>
            <w:bottom w:w="0" w:type="dxa"/>
          </w:tblCellMar>
        </w:tblPrEx>
        <w:trPr>
          <w:cantSplit/>
          <w:trHeight w:val="960"/>
        </w:trPr>
        <w:tc>
          <w:tcPr>
            <w:tcW w:w="3528" w:type="dxa"/>
          </w:tcPr>
          <w:p w:rsidR="00FE65D5" w:rsidRPr="00DE4A3D" w:rsidRDefault="00FE65D5" w:rsidP="005F1FD4">
            <w:pPr>
              <w:numPr>
                <w:ilvl w:val="0"/>
                <w:numId w:val="1"/>
              </w:numPr>
              <w:rPr>
                <w:rFonts w:ascii="Cambria" w:hAnsi="Cambria"/>
                <w14:ligatures w14:val="standardContextual"/>
                <w14:numForm w14:val="oldStyle"/>
              </w:rPr>
            </w:pPr>
            <w:r w:rsidRPr="00DE4A3D">
              <w:rPr>
                <w:rFonts w:ascii="Cambria" w:hAnsi="Cambria"/>
                <w14:ligatures w14:val="standardContextual"/>
                <w14:numForm w14:val="oldStyle"/>
              </w:rPr>
              <w:lastRenderedPageBreak/>
              <w:t xml:space="preserve">“A </w:t>
            </w:r>
            <w:proofErr w:type="spellStart"/>
            <w:r w:rsidRPr="00DE4A3D">
              <w:rPr>
                <w:rFonts w:ascii="Cambria" w:hAnsi="Cambria"/>
                <w14:ligatures w14:val="standardContextual"/>
                <w14:numForm w14:val="oldStyle"/>
              </w:rPr>
              <w:t>gramme</w:t>
            </w:r>
            <w:proofErr w:type="spellEnd"/>
            <w:r w:rsidRPr="00DE4A3D">
              <w:rPr>
                <w:rFonts w:ascii="Cambria" w:hAnsi="Cambria"/>
                <w14:ligatures w14:val="standardContextual"/>
                <w14:numForm w14:val="oldStyle"/>
              </w:rPr>
              <w:t xml:space="preserve"> in time saves nine.” (59 / 89)</w:t>
            </w:r>
          </w:p>
        </w:tc>
        <w:tc>
          <w:tcPr>
            <w:tcW w:w="3528" w:type="dxa"/>
          </w:tcPr>
          <w:p w:rsidR="00FE65D5" w:rsidRPr="00DE4A3D" w:rsidRDefault="00FE65D5" w:rsidP="005F1FD4">
            <w:pPr>
              <w:rPr>
                <w:rFonts w:ascii="Cambria" w:hAnsi="Cambria"/>
                <w14:ligatures w14:val="standardContextual"/>
                <w14:numForm w14:val="oldStyle"/>
              </w:rPr>
            </w:pPr>
          </w:p>
        </w:tc>
        <w:tc>
          <w:tcPr>
            <w:tcW w:w="3528" w:type="dxa"/>
          </w:tcPr>
          <w:p w:rsidR="00FE65D5" w:rsidRPr="00DE4A3D" w:rsidRDefault="00FE65D5" w:rsidP="005F1FD4">
            <w:pPr>
              <w:rPr>
                <w:rFonts w:ascii="Cambria" w:hAnsi="Cambria"/>
                <w14:ligatures w14:val="standardContextual"/>
                <w14:numForm w14:val="oldStyle"/>
              </w:rPr>
            </w:pPr>
          </w:p>
        </w:tc>
      </w:tr>
      <w:tr w:rsidR="00FE65D5" w:rsidRPr="00DE4A3D" w:rsidTr="005F1FD4">
        <w:tblPrEx>
          <w:tblCellMar>
            <w:top w:w="0" w:type="dxa"/>
            <w:bottom w:w="0" w:type="dxa"/>
          </w:tblCellMar>
        </w:tblPrEx>
        <w:trPr>
          <w:cantSplit/>
          <w:trHeight w:val="960"/>
        </w:trPr>
        <w:tc>
          <w:tcPr>
            <w:tcW w:w="3528" w:type="dxa"/>
          </w:tcPr>
          <w:p w:rsidR="00FE65D5" w:rsidRPr="00DE4A3D" w:rsidRDefault="00FE65D5" w:rsidP="005F1FD4">
            <w:pPr>
              <w:numPr>
                <w:ilvl w:val="0"/>
                <w:numId w:val="1"/>
              </w:numPr>
              <w:rPr>
                <w:rFonts w:ascii="Cambria" w:hAnsi="Cambria"/>
                <w14:ligatures w14:val="standardContextual"/>
                <w14:numForm w14:val="oldStyle"/>
              </w:rPr>
            </w:pPr>
            <w:r w:rsidRPr="00DE4A3D">
              <w:rPr>
                <w:rFonts w:ascii="Cambria" w:hAnsi="Cambria"/>
                <w14:ligatures w14:val="standardContextual"/>
                <w14:numForm w14:val="oldStyle"/>
              </w:rPr>
              <w:t>“Everybody belongs to everyone else.” (29 / 47)</w:t>
            </w:r>
          </w:p>
        </w:tc>
        <w:tc>
          <w:tcPr>
            <w:tcW w:w="3528" w:type="dxa"/>
          </w:tcPr>
          <w:p w:rsidR="00FE65D5" w:rsidRPr="00DE4A3D" w:rsidRDefault="00FE65D5" w:rsidP="005F1FD4">
            <w:pPr>
              <w:rPr>
                <w:rFonts w:ascii="Cambria" w:hAnsi="Cambria"/>
                <w14:ligatures w14:val="standardContextual"/>
                <w14:numForm w14:val="oldStyle"/>
              </w:rPr>
            </w:pPr>
          </w:p>
        </w:tc>
        <w:tc>
          <w:tcPr>
            <w:tcW w:w="3528" w:type="dxa"/>
          </w:tcPr>
          <w:p w:rsidR="00FE65D5" w:rsidRPr="00DE4A3D" w:rsidRDefault="00FE65D5" w:rsidP="005F1FD4">
            <w:pPr>
              <w:rPr>
                <w:rFonts w:ascii="Cambria" w:hAnsi="Cambria"/>
                <w14:ligatures w14:val="standardContextual"/>
                <w14:numForm w14:val="oldStyle"/>
              </w:rPr>
            </w:pPr>
          </w:p>
        </w:tc>
      </w:tr>
      <w:tr w:rsidR="00FE65D5" w:rsidRPr="00DE4A3D" w:rsidTr="005F1FD4">
        <w:tblPrEx>
          <w:tblCellMar>
            <w:top w:w="0" w:type="dxa"/>
            <w:bottom w:w="0" w:type="dxa"/>
          </w:tblCellMar>
        </w:tblPrEx>
        <w:trPr>
          <w:cantSplit/>
          <w:trHeight w:val="960"/>
        </w:trPr>
        <w:tc>
          <w:tcPr>
            <w:tcW w:w="3528" w:type="dxa"/>
          </w:tcPr>
          <w:p w:rsidR="00FE65D5" w:rsidRPr="00DE4A3D" w:rsidRDefault="00FE65D5" w:rsidP="005F1FD4">
            <w:pPr>
              <w:numPr>
                <w:ilvl w:val="0"/>
                <w:numId w:val="1"/>
              </w:numPr>
              <w:rPr>
                <w:rFonts w:ascii="Cambria" w:hAnsi="Cambria"/>
                <w14:ligatures w14:val="standardContextual"/>
                <w14:numForm w14:val="oldStyle"/>
              </w:rPr>
            </w:pPr>
            <w:r w:rsidRPr="00DE4A3D">
              <w:rPr>
                <w:rFonts w:ascii="Cambria" w:hAnsi="Cambria"/>
                <w14:ligatures w14:val="standardContextual"/>
                <w14:numForm w14:val="oldStyle"/>
              </w:rPr>
              <w:t xml:space="preserve">“Was and will make me ill. I take a </w:t>
            </w:r>
            <w:proofErr w:type="spellStart"/>
            <w:r w:rsidRPr="00DE4A3D">
              <w:rPr>
                <w:rFonts w:ascii="Cambria" w:hAnsi="Cambria"/>
                <w14:ligatures w14:val="standardContextual"/>
                <w14:numForm w14:val="oldStyle"/>
              </w:rPr>
              <w:t>gramme</w:t>
            </w:r>
            <w:proofErr w:type="spellEnd"/>
            <w:r w:rsidRPr="00DE4A3D">
              <w:rPr>
                <w:rFonts w:ascii="Cambria" w:hAnsi="Cambria"/>
                <w14:ligatures w14:val="standardContextual"/>
                <w14:numForm w14:val="oldStyle"/>
              </w:rPr>
              <w:t xml:space="preserve"> and only am.” (70 / 105)</w:t>
            </w:r>
          </w:p>
        </w:tc>
        <w:tc>
          <w:tcPr>
            <w:tcW w:w="3528" w:type="dxa"/>
          </w:tcPr>
          <w:p w:rsidR="00FE65D5" w:rsidRPr="00DE4A3D" w:rsidRDefault="00FE65D5" w:rsidP="005F1FD4">
            <w:pPr>
              <w:rPr>
                <w:rFonts w:ascii="Cambria" w:hAnsi="Cambria"/>
                <w14:ligatures w14:val="standardContextual"/>
                <w14:numForm w14:val="oldStyle"/>
              </w:rPr>
            </w:pPr>
          </w:p>
        </w:tc>
        <w:tc>
          <w:tcPr>
            <w:tcW w:w="3528" w:type="dxa"/>
          </w:tcPr>
          <w:p w:rsidR="00FE65D5" w:rsidRPr="00DE4A3D" w:rsidRDefault="00FE65D5" w:rsidP="005F1FD4">
            <w:pPr>
              <w:rPr>
                <w:rFonts w:ascii="Cambria" w:hAnsi="Cambria"/>
                <w14:ligatures w14:val="standardContextual"/>
                <w14:numForm w14:val="oldStyle"/>
              </w:rPr>
            </w:pPr>
          </w:p>
        </w:tc>
      </w:tr>
      <w:tr w:rsidR="00FE65D5" w:rsidRPr="00DE4A3D" w:rsidTr="005F1FD4">
        <w:tblPrEx>
          <w:tblCellMar>
            <w:top w:w="0" w:type="dxa"/>
            <w:bottom w:w="0" w:type="dxa"/>
          </w:tblCellMar>
        </w:tblPrEx>
        <w:trPr>
          <w:cantSplit/>
          <w:trHeight w:val="960"/>
        </w:trPr>
        <w:tc>
          <w:tcPr>
            <w:tcW w:w="3528" w:type="dxa"/>
          </w:tcPr>
          <w:p w:rsidR="00FE65D5" w:rsidRPr="00DE4A3D" w:rsidRDefault="00FE65D5" w:rsidP="005F1FD4">
            <w:pPr>
              <w:numPr>
                <w:ilvl w:val="0"/>
                <w:numId w:val="1"/>
              </w:numPr>
              <w:rPr>
                <w:rFonts w:ascii="Cambria" w:hAnsi="Cambria"/>
                <w14:ligatures w14:val="standardContextual"/>
                <w14:numForm w14:val="oldStyle"/>
              </w:rPr>
            </w:pPr>
            <w:r w:rsidRPr="00DE4A3D">
              <w:rPr>
                <w:rFonts w:ascii="Cambria" w:hAnsi="Cambria"/>
                <w14:ligatures w14:val="standardContextual"/>
                <w14:numForm w14:val="oldStyle"/>
              </w:rPr>
              <w:t>“</w:t>
            </w:r>
            <w:proofErr w:type="spellStart"/>
            <w:r w:rsidRPr="00DE4A3D">
              <w:rPr>
                <w:rFonts w:ascii="Cambria" w:hAnsi="Cambria"/>
                <w14:ligatures w14:val="standardContextual"/>
                <w14:numForm w14:val="oldStyle"/>
              </w:rPr>
              <w:t>Every one</w:t>
            </w:r>
            <w:proofErr w:type="spellEnd"/>
            <w:r w:rsidRPr="00DE4A3D">
              <w:rPr>
                <w:rFonts w:ascii="Cambria" w:hAnsi="Cambria"/>
                <w14:ligatures w14:val="standardContextual"/>
                <w14:numForm w14:val="oldStyle"/>
              </w:rPr>
              <w:t xml:space="preserve"> works for </w:t>
            </w:r>
            <w:proofErr w:type="spellStart"/>
            <w:r w:rsidRPr="00DE4A3D">
              <w:rPr>
                <w:rFonts w:ascii="Cambria" w:hAnsi="Cambria"/>
                <w14:ligatures w14:val="standardContextual"/>
                <w14:numForm w14:val="oldStyle"/>
              </w:rPr>
              <w:t>every one</w:t>
            </w:r>
            <w:proofErr w:type="spellEnd"/>
            <w:r w:rsidRPr="00DE4A3D">
              <w:rPr>
                <w:rFonts w:ascii="Cambria" w:hAnsi="Cambria"/>
                <w14:ligatures w14:val="standardContextual"/>
                <w14:numForm w14:val="oldStyle"/>
              </w:rPr>
              <w:t xml:space="preserve"> else. We can’t do without any one. Even Epsilons are useful. We couldn’t do without Epsilons.” (60 / 91)</w:t>
            </w:r>
          </w:p>
        </w:tc>
        <w:tc>
          <w:tcPr>
            <w:tcW w:w="3528" w:type="dxa"/>
          </w:tcPr>
          <w:p w:rsidR="00FE65D5" w:rsidRPr="00DE4A3D" w:rsidRDefault="00FE65D5" w:rsidP="005F1FD4">
            <w:pPr>
              <w:rPr>
                <w:rFonts w:ascii="Cambria" w:hAnsi="Cambria"/>
                <w14:ligatures w14:val="standardContextual"/>
                <w14:numForm w14:val="oldStyle"/>
              </w:rPr>
            </w:pPr>
          </w:p>
        </w:tc>
        <w:tc>
          <w:tcPr>
            <w:tcW w:w="3528" w:type="dxa"/>
          </w:tcPr>
          <w:p w:rsidR="00FE65D5" w:rsidRPr="00DE4A3D" w:rsidRDefault="00FE65D5" w:rsidP="005F1FD4">
            <w:pPr>
              <w:rPr>
                <w:rFonts w:ascii="Cambria" w:hAnsi="Cambria"/>
                <w14:ligatures w14:val="standardContextual"/>
                <w14:numForm w14:val="oldStyle"/>
              </w:rPr>
            </w:pPr>
          </w:p>
        </w:tc>
      </w:tr>
    </w:tbl>
    <w:p w:rsidR="00FE65D5" w:rsidRPr="00DE4A3D" w:rsidRDefault="00FE65D5" w:rsidP="00FE65D5">
      <w:pPr>
        <w:rPr>
          <w:rFonts w:ascii="Cambria" w:hAnsi="Cambria"/>
          <w14:ligatures w14:val="standardContextual"/>
          <w14:numForm w14:val="oldStyle"/>
        </w:rPr>
      </w:pPr>
    </w:p>
    <w:p w:rsidR="00FE65D5" w:rsidRPr="00DE4A3D" w:rsidRDefault="00FE65D5" w:rsidP="00FE65D5">
      <w:pPr>
        <w:jc w:val="center"/>
        <w:rPr>
          <w:rFonts w:ascii="Cambria" w:hAnsi="Cambria"/>
          <w:sz w:val="36"/>
          <w14:ligatures w14:val="standardContextual"/>
          <w14:numForm w14:val="oldStyle"/>
        </w:rPr>
      </w:pPr>
      <w:r w:rsidRPr="00DE4A3D">
        <w:rPr>
          <w:rFonts w:ascii="Cambria" w:hAnsi="Cambria"/>
          <w:sz w:val="36"/>
          <w14:ligatures w14:val="standardContextual"/>
          <w14:numForm w14:val="oldStyle"/>
        </w:rPr>
        <w:t>Extending the Lesson</w:t>
      </w:r>
    </w:p>
    <w:p w:rsidR="00FE65D5" w:rsidRPr="00DE4A3D" w:rsidRDefault="00FE65D5" w:rsidP="00FE65D5">
      <w:pPr>
        <w:rPr>
          <w:rFonts w:ascii="Cambria" w:hAnsi="Cambria"/>
          <w14:ligatures w14:val="standardContextual"/>
          <w14:numForm w14:val="oldStyle"/>
        </w:rPr>
      </w:pPr>
    </w:p>
    <w:p w:rsidR="00FE65D5" w:rsidRPr="00DE4A3D" w:rsidRDefault="00FE65D5" w:rsidP="00FE65D5">
      <w:pPr>
        <w:rPr>
          <w:rFonts w:ascii="Cambria" w:hAnsi="Cambria"/>
          <w14:ligatures w14:val="standardContextual"/>
          <w14:numForm w14:val="oldStyle"/>
        </w:rPr>
      </w:pPr>
      <w:r w:rsidRPr="00DE4A3D">
        <w:rPr>
          <w:rFonts w:ascii="Cambria" w:hAnsi="Cambria"/>
          <w:b/>
          <w:i/>
          <w14:ligatures w14:val="standardContextual"/>
          <w14:numForm w14:val="oldStyle"/>
        </w:rPr>
        <w:t>Directions:</w:t>
      </w:r>
      <w:r w:rsidRPr="00DE4A3D">
        <w:rPr>
          <w:rFonts w:ascii="Cambria" w:hAnsi="Cambria"/>
          <w14:ligatures w14:val="standardContextual"/>
          <w14:numForm w14:val="oldStyle"/>
        </w:rPr>
        <w:t xml:space="preserve"> Assume that California operates public day-care centers for preschool children. They are tax-supported in the same way as the public schools. Many legislators in California believe that children </w:t>
      </w:r>
      <w:proofErr w:type="gramStart"/>
      <w:r w:rsidRPr="00DE4A3D">
        <w:rPr>
          <w:rFonts w:ascii="Cambria" w:hAnsi="Cambria"/>
          <w14:ligatures w14:val="standardContextual"/>
          <w14:numForm w14:val="oldStyle"/>
        </w:rPr>
        <w:t>could be taught</w:t>
      </w:r>
      <w:proofErr w:type="gramEnd"/>
      <w:r w:rsidRPr="00DE4A3D">
        <w:rPr>
          <w:rFonts w:ascii="Cambria" w:hAnsi="Cambria"/>
          <w14:ligatures w14:val="standardContextual"/>
          <w14:numForm w14:val="oldStyle"/>
        </w:rPr>
        <w:t xml:space="preserve"> moral and patriotic values by listening to repetitive tape recordings during their rest periods. In the spaces below, state arguments for and against such a program, and indicate what groups (not necessarily organized groups with names) in society would support each position.</w:t>
      </w:r>
    </w:p>
    <w:p w:rsidR="00FE65D5" w:rsidRPr="00DE4A3D" w:rsidRDefault="00FE65D5" w:rsidP="00FE65D5">
      <w:pPr>
        <w:rPr>
          <w:rFonts w:ascii="Cambria" w:hAnsi="Cambria"/>
          <w14:ligatures w14:val="standardContextual"/>
          <w14:numForm w14:val="oldStyle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4"/>
        <w:gridCol w:w="2664"/>
        <w:gridCol w:w="2664"/>
        <w:gridCol w:w="2664"/>
      </w:tblGrid>
      <w:tr w:rsidR="00FE65D5" w:rsidRPr="00DE4A3D" w:rsidTr="005F1FD4">
        <w:tblPrEx>
          <w:tblCellMar>
            <w:top w:w="0" w:type="dxa"/>
            <w:bottom w:w="0" w:type="dxa"/>
          </w:tblCellMar>
        </w:tblPrEx>
        <w:tc>
          <w:tcPr>
            <w:tcW w:w="2664" w:type="dxa"/>
          </w:tcPr>
          <w:p w:rsidR="00FE65D5" w:rsidRPr="00DE4A3D" w:rsidRDefault="00FE65D5" w:rsidP="005F1FD4">
            <w:pPr>
              <w:jc w:val="center"/>
              <w:rPr>
                <w:rFonts w:ascii="Cambria" w:hAnsi="Cambria"/>
                <w:b/>
                <w:i/>
                <w14:ligatures w14:val="standardContextual"/>
                <w14:numForm w14:val="oldStyle"/>
              </w:rPr>
            </w:pPr>
            <w:r w:rsidRPr="00DE4A3D">
              <w:rPr>
                <w:rFonts w:ascii="Cambria" w:hAnsi="Cambria"/>
                <w:b/>
                <w:i/>
                <w14:ligatures w14:val="standardContextual"/>
                <w14:numForm w14:val="oldStyle"/>
              </w:rPr>
              <w:t>For</w:t>
            </w:r>
          </w:p>
        </w:tc>
        <w:tc>
          <w:tcPr>
            <w:tcW w:w="2664" w:type="dxa"/>
            <w:tcBorders>
              <w:right w:val="double" w:sz="6" w:space="0" w:color="auto"/>
            </w:tcBorders>
          </w:tcPr>
          <w:p w:rsidR="00FE65D5" w:rsidRPr="00DE4A3D" w:rsidRDefault="00FE65D5" w:rsidP="005F1FD4">
            <w:pPr>
              <w:jc w:val="center"/>
              <w:rPr>
                <w:rFonts w:ascii="Cambria" w:hAnsi="Cambria"/>
                <w:b/>
                <w:i/>
                <w14:ligatures w14:val="standardContextual"/>
                <w14:numForm w14:val="oldStyle"/>
              </w:rPr>
            </w:pPr>
            <w:r w:rsidRPr="00DE4A3D">
              <w:rPr>
                <w:rFonts w:ascii="Cambria" w:hAnsi="Cambria"/>
                <w:b/>
                <w:i/>
                <w14:ligatures w14:val="standardContextual"/>
                <w14:numForm w14:val="oldStyle"/>
              </w:rPr>
              <w:t>Groups</w:t>
            </w:r>
          </w:p>
        </w:tc>
        <w:tc>
          <w:tcPr>
            <w:tcW w:w="2664" w:type="dxa"/>
            <w:tcBorders>
              <w:left w:val="nil"/>
            </w:tcBorders>
          </w:tcPr>
          <w:p w:rsidR="00FE65D5" w:rsidRPr="00DE4A3D" w:rsidRDefault="00FE65D5" w:rsidP="005F1FD4">
            <w:pPr>
              <w:jc w:val="center"/>
              <w:rPr>
                <w:rFonts w:ascii="Cambria" w:hAnsi="Cambria"/>
                <w:b/>
                <w:i/>
                <w14:ligatures w14:val="standardContextual"/>
                <w14:numForm w14:val="oldStyle"/>
              </w:rPr>
            </w:pPr>
            <w:r w:rsidRPr="00DE4A3D">
              <w:rPr>
                <w:rFonts w:ascii="Cambria" w:hAnsi="Cambria"/>
                <w:b/>
                <w:i/>
                <w14:ligatures w14:val="standardContextual"/>
                <w14:numForm w14:val="oldStyle"/>
              </w:rPr>
              <w:t>Against</w:t>
            </w:r>
          </w:p>
        </w:tc>
        <w:tc>
          <w:tcPr>
            <w:tcW w:w="2664" w:type="dxa"/>
          </w:tcPr>
          <w:p w:rsidR="00FE65D5" w:rsidRPr="00DE4A3D" w:rsidRDefault="00FE65D5" w:rsidP="005F1FD4">
            <w:pPr>
              <w:jc w:val="center"/>
              <w:rPr>
                <w:rFonts w:ascii="Cambria" w:hAnsi="Cambria"/>
                <w:b/>
                <w:i/>
                <w14:ligatures w14:val="standardContextual"/>
                <w14:numForm w14:val="oldStyle"/>
              </w:rPr>
            </w:pPr>
            <w:r w:rsidRPr="00DE4A3D">
              <w:rPr>
                <w:rFonts w:ascii="Cambria" w:hAnsi="Cambria"/>
                <w:b/>
                <w:i/>
                <w14:ligatures w14:val="standardContextual"/>
                <w14:numForm w14:val="oldStyle"/>
              </w:rPr>
              <w:t>Groups</w:t>
            </w:r>
          </w:p>
        </w:tc>
      </w:tr>
      <w:tr w:rsidR="00FE65D5" w:rsidRPr="00DE4A3D" w:rsidTr="005F1FD4">
        <w:tblPrEx>
          <w:tblCellMar>
            <w:top w:w="0" w:type="dxa"/>
            <w:bottom w:w="0" w:type="dxa"/>
          </w:tblCellMar>
        </w:tblPrEx>
        <w:trPr>
          <w:trHeight w:val="4960"/>
        </w:trPr>
        <w:tc>
          <w:tcPr>
            <w:tcW w:w="2664" w:type="dxa"/>
          </w:tcPr>
          <w:p w:rsidR="00FE65D5" w:rsidRPr="00DE4A3D" w:rsidRDefault="00FE65D5" w:rsidP="005F1FD4">
            <w:pPr>
              <w:rPr>
                <w:rFonts w:ascii="Cambria" w:hAnsi="Cambria"/>
                <w14:ligatures w14:val="standardContextual"/>
                <w14:numForm w14:val="oldStyle"/>
              </w:rPr>
            </w:pPr>
          </w:p>
        </w:tc>
        <w:tc>
          <w:tcPr>
            <w:tcW w:w="2664" w:type="dxa"/>
            <w:tcBorders>
              <w:right w:val="double" w:sz="6" w:space="0" w:color="auto"/>
            </w:tcBorders>
          </w:tcPr>
          <w:p w:rsidR="00FE65D5" w:rsidRPr="00DE4A3D" w:rsidRDefault="00FE65D5" w:rsidP="005F1FD4">
            <w:pPr>
              <w:rPr>
                <w:rFonts w:ascii="Cambria" w:hAnsi="Cambria"/>
                <w14:ligatures w14:val="standardContextual"/>
                <w14:numForm w14:val="oldStyle"/>
              </w:rPr>
            </w:pPr>
          </w:p>
        </w:tc>
        <w:tc>
          <w:tcPr>
            <w:tcW w:w="2664" w:type="dxa"/>
            <w:tcBorders>
              <w:left w:val="nil"/>
            </w:tcBorders>
          </w:tcPr>
          <w:p w:rsidR="00FE65D5" w:rsidRPr="00DE4A3D" w:rsidRDefault="00FE65D5" w:rsidP="005F1FD4">
            <w:pPr>
              <w:rPr>
                <w:rFonts w:ascii="Cambria" w:hAnsi="Cambria"/>
                <w14:ligatures w14:val="standardContextual"/>
                <w14:numForm w14:val="oldStyle"/>
              </w:rPr>
            </w:pPr>
          </w:p>
        </w:tc>
        <w:tc>
          <w:tcPr>
            <w:tcW w:w="2664" w:type="dxa"/>
          </w:tcPr>
          <w:p w:rsidR="00FE65D5" w:rsidRPr="00DE4A3D" w:rsidRDefault="00FE65D5" w:rsidP="005F1FD4">
            <w:pPr>
              <w:rPr>
                <w:rFonts w:ascii="Cambria" w:hAnsi="Cambria"/>
                <w14:ligatures w14:val="standardContextual"/>
                <w14:numForm w14:val="oldStyle"/>
              </w:rPr>
            </w:pPr>
          </w:p>
        </w:tc>
      </w:tr>
    </w:tbl>
    <w:p w:rsidR="00FE65D5" w:rsidRPr="00DE4A3D" w:rsidRDefault="00FE65D5" w:rsidP="00FE65D5">
      <w:pPr>
        <w:jc w:val="right"/>
        <w:rPr>
          <w:rFonts w:ascii="Cambria" w:hAnsi="Cambria"/>
          <w:sz w:val="16"/>
          <w14:ligatures w14:val="standardContextual"/>
          <w14:numForm w14:val="oldStyle"/>
        </w:rPr>
      </w:pPr>
    </w:p>
    <w:p w:rsidR="00FE65D5" w:rsidRPr="00DE4A3D" w:rsidRDefault="00FE65D5" w:rsidP="00FE65D5">
      <w:pPr>
        <w:jc w:val="right"/>
        <w:rPr>
          <w:rFonts w:ascii="Cambria" w:hAnsi="Cambria"/>
          <w14:ligatures w14:val="standardContextual"/>
          <w14:numForm w14:val="oldStyle"/>
        </w:rPr>
      </w:pPr>
      <w:proofErr w:type="gramStart"/>
      <w:r w:rsidRPr="00DE4A3D">
        <w:rPr>
          <w:rFonts w:ascii="Cambria" w:hAnsi="Cambria"/>
          <w:sz w:val="16"/>
          <w14:ligatures w14:val="standardContextual"/>
          <w14:numForm w14:val="oldStyle"/>
        </w:rPr>
        <w:t>adapted</w:t>
      </w:r>
      <w:proofErr w:type="gramEnd"/>
      <w:r w:rsidRPr="00DE4A3D">
        <w:rPr>
          <w:rFonts w:ascii="Cambria" w:hAnsi="Cambria"/>
          <w:sz w:val="16"/>
          <w14:ligatures w14:val="standardContextual"/>
          <w14:numForm w14:val="oldStyle"/>
        </w:rPr>
        <w:t xml:space="preserve"> from materials from The Center for Learning</w:t>
      </w:r>
    </w:p>
    <w:p w:rsidR="00D037C7" w:rsidRDefault="00FE65D5">
      <w:bookmarkStart w:id="0" w:name="_GoBack"/>
      <w:bookmarkEnd w:id="0"/>
    </w:p>
    <w:sectPr w:rsidR="00D037C7">
      <w:pgSz w:w="12240" w:h="15840"/>
      <w:pgMar w:top="1080" w:right="720" w:bottom="10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Dante MT Alt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harcuterie Flared">
    <w:panose1 w:val="02000503000000020003"/>
    <w:charset w:val="00"/>
    <w:family w:val="auto"/>
    <w:pitch w:val="variable"/>
    <w:sig w:usb0="800000AF" w:usb1="1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5A725F"/>
    <w:multiLevelType w:val="singleLevel"/>
    <w:tmpl w:val="242E423E"/>
    <w:lvl w:ilvl="0">
      <w:start w:val="1"/>
      <w:numFmt w:val="decimal"/>
      <w:lvlText w:val="%1."/>
      <w:legacy w:legacy="1" w:legacySpace="0" w:legacyIndent="288"/>
      <w:lvlJc w:val="left"/>
      <w:pPr>
        <w:ind w:left="288" w:hanging="288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5D5"/>
    <w:rsid w:val="000A08EB"/>
    <w:rsid w:val="00140DB4"/>
    <w:rsid w:val="001C1C2D"/>
    <w:rsid w:val="0023065B"/>
    <w:rsid w:val="002E64B5"/>
    <w:rsid w:val="002F30D4"/>
    <w:rsid w:val="00367D2B"/>
    <w:rsid w:val="003D0305"/>
    <w:rsid w:val="004438AD"/>
    <w:rsid w:val="00451AC9"/>
    <w:rsid w:val="004A6E32"/>
    <w:rsid w:val="004F2D02"/>
    <w:rsid w:val="006035BE"/>
    <w:rsid w:val="00693974"/>
    <w:rsid w:val="00763848"/>
    <w:rsid w:val="0082354A"/>
    <w:rsid w:val="00827DC1"/>
    <w:rsid w:val="00915D2E"/>
    <w:rsid w:val="00932962"/>
    <w:rsid w:val="00996358"/>
    <w:rsid w:val="00AC45CE"/>
    <w:rsid w:val="00B14B3F"/>
    <w:rsid w:val="00B9063A"/>
    <w:rsid w:val="00BD4202"/>
    <w:rsid w:val="00C001F7"/>
    <w:rsid w:val="00C360D1"/>
    <w:rsid w:val="00CA4233"/>
    <w:rsid w:val="00D524CA"/>
    <w:rsid w:val="00E66C7A"/>
    <w:rsid w:val="00ED3684"/>
    <w:rsid w:val="00FA18A2"/>
    <w:rsid w:val="00FE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A46978-1D9B-456E-B2AF-21AEFB1CC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65D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Dante MT Alt" w:eastAsia="Times New Roman" w:hAnsi="Dante MT Alt" w:cs="Times New Roman"/>
      <w:sz w:val="24"/>
      <w:szCs w:val="20"/>
    </w:rPr>
  </w:style>
  <w:style w:type="paragraph" w:styleId="Heading1">
    <w:name w:val="heading 1"/>
    <w:basedOn w:val="Normal"/>
    <w:link w:val="Heading1Char"/>
    <w:uiPriority w:val="9"/>
    <w:qFormat/>
    <w:rsid w:val="00140DB4"/>
    <w:pPr>
      <w:keepNext/>
      <w:keepLines/>
      <w:spacing w:before="180" w:after="180"/>
      <w:outlineLvl w:val="0"/>
    </w:pPr>
    <w:rPr>
      <w:rFonts w:ascii="Cambria" w:hAnsi="Cambria"/>
      <w:bCs/>
      <w:color w:val="800000"/>
      <w:kern w:val="36"/>
      <w:sz w:val="32"/>
      <w:szCs w:val="36"/>
    </w:rPr>
  </w:style>
  <w:style w:type="paragraph" w:styleId="Heading2">
    <w:name w:val="heading 2"/>
    <w:basedOn w:val="Normal"/>
    <w:link w:val="Heading2Char"/>
    <w:uiPriority w:val="9"/>
    <w:unhideWhenUsed/>
    <w:qFormat/>
    <w:rsid w:val="0023065B"/>
    <w:pPr>
      <w:keepNext/>
      <w:keepLines/>
      <w:spacing w:before="240" w:after="180"/>
      <w:outlineLvl w:val="1"/>
    </w:pPr>
    <w:rPr>
      <w:rFonts w:ascii="Cambria" w:hAnsi="Cambria"/>
      <w:bCs/>
      <w:color w:val="800000"/>
      <w:sz w:val="28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BD4202"/>
    <w:pPr>
      <w:spacing w:before="120" w:after="180"/>
    </w:pPr>
    <w:rPr>
      <w:rFonts w:ascii="Cambria" w:hAnsi="Cambria"/>
      <w:i/>
      <w:iCs/>
      <w:color w:val="44546A" w:themeColor="text2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140DB4"/>
    <w:pPr>
      <w:keepNext/>
      <w:keepLines/>
      <w:spacing w:after="360"/>
      <w:contextualSpacing/>
    </w:pPr>
    <w:rPr>
      <w:rFonts w:ascii="Cambria" w:eastAsiaTheme="majorEastAsia" w:hAnsi="Cambria" w:cstheme="majorBidi"/>
      <w:color w:val="800000"/>
      <w:spacing w:val="-10"/>
      <w:kern w:val="28"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140DB4"/>
    <w:rPr>
      <w:rFonts w:ascii="Cambria" w:eastAsiaTheme="majorEastAsia" w:hAnsi="Cambria" w:cstheme="majorBidi"/>
      <w:color w:val="800000"/>
      <w:spacing w:val="-10"/>
      <w:kern w:val="28"/>
      <w:sz w:val="36"/>
      <w:szCs w:val="36"/>
    </w:rPr>
  </w:style>
  <w:style w:type="paragraph" w:customStyle="1" w:styleId="EndStuff">
    <w:name w:val="End Stuff"/>
    <w:basedOn w:val="Normal"/>
    <w:link w:val="EndStuffChar"/>
    <w:qFormat/>
    <w:rsid w:val="00BD4202"/>
    <w:pPr>
      <w:ind w:left="720"/>
      <w:jc w:val="right"/>
    </w:pPr>
    <w:rPr>
      <w:rFonts w:ascii="Cambria" w:hAnsi="Cambria"/>
      <w:i/>
      <w14:ligatures w14:val="standardContextual"/>
      <w14:numForm w14:val="oldStyle"/>
    </w:rPr>
  </w:style>
  <w:style w:type="character" w:customStyle="1" w:styleId="EndStuffChar">
    <w:name w:val="End Stuff Char"/>
    <w:basedOn w:val="DefaultParagraphFont"/>
    <w:link w:val="EndStuff"/>
    <w:rsid w:val="00BD4202"/>
    <w:rPr>
      <w:rFonts w:ascii="Cambria" w:eastAsia="Times New Roman" w:hAnsi="Cambria" w:cs="Times New Roman"/>
      <w:i/>
      <w14:ligatures w14:val="standardContextual"/>
      <w14:numForm w14:val="oldStyle"/>
    </w:rPr>
  </w:style>
  <w:style w:type="paragraph" w:customStyle="1" w:styleId="Byline">
    <w:name w:val="Byline"/>
    <w:basedOn w:val="Normal"/>
    <w:link w:val="BylineChar"/>
    <w:qFormat/>
    <w:rsid w:val="00BD4202"/>
    <w:rPr>
      <w:rFonts w:ascii="Cambria" w:hAnsi="Cambria"/>
      <w:i/>
      <w:szCs w:val="24"/>
    </w:rPr>
  </w:style>
  <w:style w:type="character" w:customStyle="1" w:styleId="BylineChar">
    <w:name w:val="Byline Char"/>
    <w:basedOn w:val="DefaultParagraphFont"/>
    <w:link w:val="Byline"/>
    <w:rsid w:val="00BD4202"/>
    <w:rPr>
      <w:rFonts w:ascii="Cambria" w:eastAsia="Times New Roman" w:hAnsi="Cambria" w:cs="Times New Roman"/>
      <w:i/>
      <w:sz w:val="24"/>
      <w:szCs w:val="24"/>
    </w:rPr>
  </w:style>
  <w:style w:type="paragraph" w:styleId="EnvelopeAddress">
    <w:name w:val="envelope address"/>
    <w:basedOn w:val="Normal"/>
    <w:uiPriority w:val="99"/>
    <w:semiHidden/>
    <w:unhideWhenUsed/>
    <w:rsid w:val="00367D2B"/>
    <w:pPr>
      <w:framePr w:w="7920" w:h="1980" w:hRule="exact" w:hSpace="180" w:wrap="auto" w:hAnchor="page" w:xAlign="center" w:yAlign="bottom"/>
      <w:ind w:left="2880"/>
    </w:pPr>
    <w:rPr>
      <w:rFonts w:ascii="Charcuterie Flared" w:eastAsiaTheme="majorEastAsia" w:hAnsi="Charcuterie Flared" w:cstheme="majorBidi"/>
      <w:caps/>
      <w:sz w:val="28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367D2B"/>
    <w:rPr>
      <w:rFonts w:ascii="Charcuterie Flared" w:eastAsiaTheme="majorEastAsia" w:hAnsi="Charcuterie Flared" w:cstheme="majorBidi"/>
      <w:sz w:val="20"/>
    </w:rPr>
  </w:style>
  <w:style w:type="paragraph" w:customStyle="1" w:styleId="Supertitle">
    <w:name w:val="Supertitle"/>
    <w:basedOn w:val="Normal"/>
    <w:link w:val="SupertitleChar"/>
    <w:qFormat/>
    <w:rsid w:val="00C360D1"/>
    <w:rPr>
      <w:rFonts w:ascii="Cambria" w:hAnsi="Cambria"/>
      <w:i/>
      <w:szCs w:val="24"/>
    </w:rPr>
  </w:style>
  <w:style w:type="character" w:customStyle="1" w:styleId="SupertitleChar">
    <w:name w:val="Supertitle Char"/>
    <w:basedOn w:val="DefaultParagraphFont"/>
    <w:link w:val="Supertitle"/>
    <w:rsid w:val="00C360D1"/>
    <w:rPr>
      <w:rFonts w:ascii="Cambria" w:eastAsia="Times New Roman" w:hAnsi="Cambria" w:cs="Times New Roman"/>
      <w:i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40DB4"/>
    <w:rPr>
      <w:rFonts w:ascii="Cambria" w:eastAsia="Times New Roman" w:hAnsi="Cambria" w:cs="Times New Roman"/>
      <w:bCs/>
      <w:color w:val="800000"/>
      <w:kern w:val="36"/>
      <w:sz w:val="32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23065B"/>
    <w:rPr>
      <w:rFonts w:ascii="Cambria" w:eastAsia="Times New Roman" w:hAnsi="Cambria" w:cs="Times New Roman"/>
      <w:bCs/>
      <w:color w:val="800000"/>
      <w:sz w:val="28"/>
      <w:szCs w:val="36"/>
    </w:rPr>
  </w:style>
  <w:style w:type="paragraph" w:customStyle="1" w:styleId="Superhead">
    <w:name w:val="Superhead"/>
    <w:basedOn w:val="Normal"/>
    <w:link w:val="SuperheadChar"/>
    <w:qFormat/>
    <w:rsid w:val="0082354A"/>
    <w:pPr>
      <w:pBdr>
        <w:bottom w:val="dotted" w:sz="4" w:space="1" w:color="auto"/>
      </w:pBdr>
    </w:pPr>
    <w:rPr>
      <w:rFonts w:ascii="Cambria" w:hAnsi="Cambria"/>
    </w:rPr>
  </w:style>
  <w:style w:type="character" w:customStyle="1" w:styleId="SuperheadChar">
    <w:name w:val="Superhead Char"/>
    <w:basedOn w:val="DefaultParagraphFont"/>
    <w:link w:val="Superhead"/>
    <w:rsid w:val="0082354A"/>
    <w:rPr>
      <w:rFonts w:ascii="Cambria" w:hAnsi="Cambria" w:cs="Times New Roman"/>
      <w:sz w:val="24"/>
    </w:rPr>
  </w:style>
  <w:style w:type="paragraph" w:styleId="ListParagraph">
    <w:name w:val="List Paragraph"/>
    <w:basedOn w:val="Normal"/>
    <w:uiPriority w:val="34"/>
    <w:qFormat/>
    <w:rsid w:val="00B9063A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Skip Nicholson</dc:creator>
  <cp:keywords/>
  <dc:description/>
  <cp:lastModifiedBy>Skip Nicholson</cp:lastModifiedBy>
  <cp:revision>1</cp:revision>
  <dcterms:created xsi:type="dcterms:W3CDTF">2015-09-01T22:46:00Z</dcterms:created>
  <dcterms:modified xsi:type="dcterms:W3CDTF">2015-09-01T22:46:00Z</dcterms:modified>
</cp:coreProperties>
</file>